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814384" w:rsidRPr="0070784B" w14:paraId="45C7FC82" w14:textId="77777777" w:rsidTr="008F4B7D">
        <w:trPr>
          <w:trHeight w:val="132"/>
        </w:trPr>
        <w:tc>
          <w:tcPr>
            <w:tcW w:w="1980" w:type="dxa"/>
            <w:shd w:val="clear" w:color="auto" w:fill="auto"/>
            <w:hideMark/>
          </w:tcPr>
          <w:p w14:paraId="20990190" w14:textId="77777777" w:rsidR="00814384" w:rsidRPr="0070784B" w:rsidRDefault="00814384" w:rsidP="0081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bookmarkStart w:id="0" w:name="RANGE!A1"/>
            <w:bookmarkEnd w:id="0"/>
          </w:p>
        </w:tc>
        <w:tc>
          <w:tcPr>
            <w:tcW w:w="7087" w:type="dxa"/>
            <w:shd w:val="clear" w:color="auto" w:fill="auto"/>
            <w:noWrap/>
            <w:hideMark/>
          </w:tcPr>
          <w:p w14:paraId="5AF36073" w14:textId="77777777" w:rsidR="00814384" w:rsidRPr="0070784B" w:rsidRDefault="00814384" w:rsidP="0081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14384" w:rsidRPr="0070784B" w14:paraId="40F3CCA3" w14:textId="77777777" w:rsidTr="0070784B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242EF42D" w14:textId="052C585C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7087" w:type="dxa"/>
            <w:shd w:val="clear" w:color="auto" w:fill="auto"/>
            <w:noWrap/>
            <w:hideMark/>
          </w:tcPr>
          <w:p w14:paraId="739F4A56" w14:textId="7DF875AB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SERVO -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Analoger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Gitarren-Enchancer</w:t>
            </w:r>
            <w:proofErr w:type="spellEnd"/>
          </w:p>
        </w:tc>
      </w:tr>
      <w:tr w:rsidR="00814384" w:rsidRPr="0070784B" w14:paraId="52A67265" w14:textId="77777777" w:rsidTr="008F4B7D">
        <w:trPr>
          <w:trHeight w:val="221"/>
        </w:trPr>
        <w:tc>
          <w:tcPr>
            <w:tcW w:w="1980" w:type="dxa"/>
            <w:shd w:val="clear" w:color="auto" w:fill="auto"/>
            <w:hideMark/>
          </w:tcPr>
          <w:p w14:paraId="63FE6BBE" w14:textId="77777777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14:paraId="4D0BA42F" w14:textId="77777777" w:rsidR="00814384" w:rsidRPr="0070784B" w:rsidRDefault="00814384" w:rsidP="0081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14384" w:rsidRPr="0070784B" w14:paraId="5679FAB5" w14:textId="77777777" w:rsidTr="0070784B">
        <w:trPr>
          <w:trHeight w:val="623"/>
        </w:trPr>
        <w:tc>
          <w:tcPr>
            <w:tcW w:w="1980" w:type="dxa"/>
            <w:shd w:val="clear" w:color="auto" w:fill="auto"/>
            <w:hideMark/>
          </w:tcPr>
          <w:p w14:paraId="567F65EE" w14:textId="5519AE94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HAUPTMERKMALE</w:t>
            </w:r>
          </w:p>
        </w:tc>
        <w:tc>
          <w:tcPr>
            <w:tcW w:w="7087" w:type="dxa"/>
            <w:shd w:val="clear" w:color="auto" w:fill="auto"/>
            <w:hideMark/>
          </w:tcPr>
          <w:p w14:paraId="03D32689" w14:textId="535975DD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einfach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bedienen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plastifiziert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sättigt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den Klang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kompatibel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jeder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breiter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Anwendungsbereich</w:t>
            </w:r>
            <w:proofErr w:type="spellEnd"/>
          </w:p>
        </w:tc>
      </w:tr>
      <w:tr w:rsidR="00814384" w:rsidRPr="0070784B" w14:paraId="7D2AFE8B" w14:textId="77777777" w:rsidTr="008F4B7D">
        <w:trPr>
          <w:trHeight w:val="196"/>
        </w:trPr>
        <w:tc>
          <w:tcPr>
            <w:tcW w:w="1980" w:type="dxa"/>
            <w:shd w:val="clear" w:color="auto" w:fill="auto"/>
            <w:hideMark/>
          </w:tcPr>
          <w:p w14:paraId="2093E0A6" w14:textId="77777777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14:paraId="70E0DA7E" w14:textId="77777777" w:rsidR="00814384" w:rsidRPr="0070784B" w:rsidRDefault="00814384" w:rsidP="0081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14384" w:rsidRPr="0070784B" w14:paraId="1BAE323C" w14:textId="77777777" w:rsidTr="0070784B">
        <w:trPr>
          <w:trHeight w:val="633"/>
        </w:trPr>
        <w:tc>
          <w:tcPr>
            <w:tcW w:w="1980" w:type="dxa"/>
            <w:shd w:val="clear" w:color="auto" w:fill="auto"/>
            <w:hideMark/>
          </w:tcPr>
          <w:p w14:paraId="7574148D" w14:textId="4466876F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ÜBERSICHT</w:t>
            </w:r>
          </w:p>
        </w:tc>
        <w:tc>
          <w:tcPr>
            <w:tcW w:w="7087" w:type="dxa"/>
            <w:shd w:val="clear" w:color="auto" w:fill="auto"/>
            <w:hideMark/>
          </w:tcPr>
          <w:p w14:paraId="5DB59F54" w14:textId="174C1A1E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Professioneller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Effekt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für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Elektrogitarre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der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ihr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Timbre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nicht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beeinträchtigt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den Klang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sehr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lebendig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gesättigt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Kompatibel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mit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jeder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Verstärker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Effektschleife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oder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Säule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814384" w:rsidRPr="0070784B" w14:paraId="0645297C" w14:textId="77777777" w:rsidTr="008F4B7D">
        <w:trPr>
          <w:trHeight w:val="238"/>
        </w:trPr>
        <w:tc>
          <w:tcPr>
            <w:tcW w:w="1980" w:type="dxa"/>
            <w:shd w:val="clear" w:color="auto" w:fill="auto"/>
            <w:hideMark/>
          </w:tcPr>
          <w:p w14:paraId="04C9E923" w14:textId="77777777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  <w:shd w:val="clear" w:color="auto" w:fill="auto"/>
            <w:noWrap/>
            <w:hideMark/>
          </w:tcPr>
          <w:p w14:paraId="4750EA9B" w14:textId="77777777" w:rsidR="00814384" w:rsidRPr="0070784B" w:rsidRDefault="00814384" w:rsidP="0081438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l-PL"/>
              </w:rPr>
            </w:pPr>
          </w:p>
        </w:tc>
      </w:tr>
      <w:tr w:rsidR="00814384" w:rsidRPr="0070784B" w14:paraId="207DBAED" w14:textId="77777777" w:rsidTr="0070784B">
        <w:trPr>
          <w:trHeight w:val="3225"/>
        </w:trPr>
        <w:tc>
          <w:tcPr>
            <w:tcW w:w="1980" w:type="dxa"/>
            <w:shd w:val="clear" w:color="auto" w:fill="auto"/>
            <w:hideMark/>
          </w:tcPr>
          <w:p w14:paraId="2655201D" w14:textId="750E5FE9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VOLLSTÄNDIGE BESCHREIBUNG</w:t>
            </w:r>
          </w:p>
        </w:tc>
        <w:tc>
          <w:tcPr>
            <w:tcW w:w="7087" w:type="dxa"/>
            <w:shd w:val="clear" w:color="auto" w:fill="auto"/>
            <w:hideMark/>
          </w:tcPr>
          <w:p w14:paraId="4B0F2EA8" w14:textId="5D262F24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Der Taurus SERVO-ENHANCER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professionelles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Werkzeug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mit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einen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großartigen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Gitarrensound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erzielen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Das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Gerät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den Klang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sehr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lebendig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gesättigt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während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es den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ursprünglichen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Gitarrenklang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nicht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beeinträchtigt.Das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Gefühl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auf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einem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viel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höherwertigen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Instrument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spielen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ursprünglich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Der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bereichert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den Klang des Instruments, indem 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Qualitäten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hinzufügt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Spielen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angenehm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was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noch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wichtiger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eindringlicher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machen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Außerdem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fügt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sich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dadurch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sehr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gut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den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Gesamtmix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der Band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ein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Egal,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welche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Art von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Verstärker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Effektschleife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oder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Lautsprecher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haben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der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passt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immer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perfekt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dazwischen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verbessert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den Klang des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gesamten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Signals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Servo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wurde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von Top-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Marken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getestet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wie: Gibson,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Ibanez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Fender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Epiphone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Yamaha, ESP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viele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andere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sogar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handgefertigte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Drużkowskis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!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Der SERVO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so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konzipiert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dass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er mit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jeder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Art von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traditionellem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digitalem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Profiling-Verstärker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Vorverstärker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funktioniert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funktioniert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auch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sehr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gut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bei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Aufnahme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von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direkt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in den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Computer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. Das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Gerät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ist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extrem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einfach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zu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bedienen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- 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wird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empfohlen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es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direkt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als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erste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Komponente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der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gesamten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Effektkette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anzuschließen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  <w:r>
              <w:rPr>
                <w:rFonts w:ascii="Calibri" w:hAnsi="Calibri" w:cs="Calibri"/>
                <w:color w:val="000000"/>
                <w:sz w:val="16"/>
                <w:szCs w:val="16"/>
              </w:rPr>
              <w:br/>
              <w:t xml:space="preserve">Wir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ermutigen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unseren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Würfel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auszuprobieren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!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Hoffentlich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wird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er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zum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Hauptwerkzeug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im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Arsenal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Ihrer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Effekte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, mit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dem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Sie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Ihren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eigenen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originellen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Gitarrensound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16"/>
                <w:szCs w:val="16"/>
              </w:rPr>
              <w:t>kreieren</w:t>
            </w:r>
            <w:proofErr w:type="spellEnd"/>
            <w:r>
              <w:rPr>
                <w:rFonts w:ascii="Calibri" w:hAnsi="Calibri" w:cs="Calibri"/>
                <w:color w:val="000000"/>
                <w:sz w:val="16"/>
                <w:szCs w:val="16"/>
              </w:rPr>
              <w:t>.</w:t>
            </w:r>
          </w:p>
        </w:tc>
      </w:tr>
      <w:tr w:rsidR="00814384" w:rsidRPr="0070784B" w14:paraId="28DEAE22" w14:textId="77777777" w:rsidTr="0016386A">
        <w:trPr>
          <w:trHeight w:val="242"/>
        </w:trPr>
        <w:tc>
          <w:tcPr>
            <w:tcW w:w="1980" w:type="dxa"/>
            <w:shd w:val="clear" w:color="auto" w:fill="auto"/>
            <w:hideMark/>
          </w:tcPr>
          <w:p w14:paraId="6CA6C7F5" w14:textId="43825412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7" w:type="dxa"/>
            <w:shd w:val="clear" w:color="auto" w:fill="auto"/>
          </w:tcPr>
          <w:p w14:paraId="46B85697" w14:textId="2D53397D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384" w:rsidRPr="0070784B" w14:paraId="13222DFF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01CB0893" w14:textId="25A196BD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PARAMETER</w:t>
            </w:r>
          </w:p>
        </w:tc>
        <w:tc>
          <w:tcPr>
            <w:tcW w:w="7087" w:type="dxa"/>
            <w:shd w:val="clear" w:color="auto" w:fill="auto"/>
            <w:noWrap/>
          </w:tcPr>
          <w:p w14:paraId="647FBA7D" w14:textId="1CEB63D4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814384" w:rsidRPr="0070784B" w14:paraId="598CD128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214B4849" w14:textId="52D2F4DE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KATEGORIE</w:t>
            </w:r>
          </w:p>
        </w:tc>
        <w:tc>
          <w:tcPr>
            <w:tcW w:w="7087" w:type="dxa"/>
            <w:shd w:val="clear" w:color="auto" w:fill="auto"/>
          </w:tcPr>
          <w:p w14:paraId="67163219" w14:textId="6F243940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GITARREN-EFFEKT</w:t>
            </w:r>
          </w:p>
        </w:tc>
      </w:tr>
      <w:tr w:rsidR="00814384" w:rsidRPr="0070784B" w14:paraId="3D8C3DA1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0A40D0D7" w14:textId="25A9C09E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POWER SUPPLY</w:t>
            </w:r>
          </w:p>
        </w:tc>
        <w:tc>
          <w:tcPr>
            <w:tcW w:w="7087" w:type="dxa"/>
            <w:shd w:val="clear" w:color="auto" w:fill="auto"/>
          </w:tcPr>
          <w:p w14:paraId="395CF0BC" w14:textId="5570CDD1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9-15 V</w:t>
            </w:r>
          </w:p>
        </w:tc>
      </w:tr>
      <w:tr w:rsidR="00814384" w:rsidRPr="0070784B" w14:paraId="7E48B72B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48252174" w14:textId="06397130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TRUE BYPASS</w:t>
            </w:r>
          </w:p>
        </w:tc>
        <w:tc>
          <w:tcPr>
            <w:tcW w:w="7087" w:type="dxa"/>
            <w:shd w:val="clear" w:color="auto" w:fill="auto"/>
          </w:tcPr>
          <w:p w14:paraId="20DDF690" w14:textId="5B19C700" w:rsidR="00814384" w:rsidRPr="0070784B" w:rsidRDefault="00814384" w:rsidP="00814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</w:t>
            </w:r>
          </w:p>
        </w:tc>
      </w:tr>
      <w:tr w:rsidR="00814384" w:rsidRPr="0070784B" w14:paraId="60E7F000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46A7EA0D" w14:textId="7EAEBC5A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FUSSSCHALTER</w:t>
            </w:r>
          </w:p>
        </w:tc>
        <w:tc>
          <w:tcPr>
            <w:tcW w:w="7087" w:type="dxa"/>
            <w:shd w:val="clear" w:color="auto" w:fill="auto"/>
          </w:tcPr>
          <w:p w14:paraId="29CAB755" w14:textId="6035F244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814384" w:rsidRPr="0070784B" w14:paraId="493139DE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3CEF0BB6" w14:textId="1B6B1160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KOMPRESSOR</w:t>
            </w:r>
          </w:p>
        </w:tc>
        <w:tc>
          <w:tcPr>
            <w:tcW w:w="7087" w:type="dxa"/>
            <w:shd w:val="clear" w:color="auto" w:fill="auto"/>
          </w:tcPr>
          <w:p w14:paraId="771058F2" w14:textId="4C76CDD8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-</w:t>
            </w:r>
          </w:p>
        </w:tc>
      </w:tr>
      <w:tr w:rsidR="00814384" w:rsidRPr="0070784B" w14:paraId="4FE993D3" w14:textId="77777777" w:rsidTr="0016386A">
        <w:trPr>
          <w:trHeight w:val="600"/>
        </w:trPr>
        <w:tc>
          <w:tcPr>
            <w:tcW w:w="1980" w:type="dxa"/>
            <w:shd w:val="clear" w:color="auto" w:fill="auto"/>
            <w:hideMark/>
          </w:tcPr>
          <w:p w14:paraId="0085E087" w14:textId="3F7B8FB3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DC-ASSISTENT</w:t>
            </w:r>
          </w:p>
        </w:tc>
        <w:tc>
          <w:tcPr>
            <w:tcW w:w="7087" w:type="dxa"/>
            <w:shd w:val="clear" w:color="auto" w:fill="auto"/>
          </w:tcPr>
          <w:p w14:paraId="3B29DBFF" w14:textId="651F36B8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</w:t>
            </w:r>
          </w:p>
        </w:tc>
      </w:tr>
      <w:tr w:rsidR="00814384" w:rsidRPr="0070784B" w14:paraId="31209D78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4ED8E110" w14:textId="1A51C061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AUTOMATISCHE POLARITÄTSERKENNUNG</w:t>
            </w:r>
          </w:p>
        </w:tc>
        <w:tc>
          <w:tcPr>
            <w:tcW w:w="7087" w:type="dxa"/>
            <w:shd w:val="clear" w:color="auto" w:fill="auto"/>
            <w:noWrap/>
          </w:tcPr>
          <w:p w14:paraId="1BE4BC83" w14:textId="3648AA33" w:rsidR="00814384" w:rsidRPr="0070784B" w:rsidRDefault="00814384" w:rsidP="00814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JA</w:t>
            </w:r>
          </w:p>
        </w:tc>
      </w:tr>
      <w:tr w:rsidR="00814384" w:rsidRPr="0070784B" w14:paraId="613D42DD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4B45E10E" w14:textId="465D44B4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HÖHE (mm) | (in)</w:t>
            </w:r>
          </w:p>
        </w:tc>
        <w:tc>
          <w:tcPr>
            <w:tcW w:w="7087" w:type="dxa"/>
            <w:shd w:val="clear" w:color="auto" w:fill="auto"/>
            <w:noWrap/>
          </w:tcPr>
          <w:p w14:paraId="38599F33" w14:textId="161DEFD7" w:rsidR="00814384" w:rsidRPr="0070784B" w:rsidRDefault="00814384" w:rsidP="00814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50 | 1,97</w:t>
            </w:r>
          </w:p>
        </w:tc>
      </w:tr>
      <w:tr w:rsidR="00814384" w:rsidRPr="0070784B" w14:paraId="57F451D2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063B023D" w14:textId="38FD0C38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BREITE (mm) | (in)</w:t>
            </w:r>
          </w:p>
        </w:tc>
        <w:tc>
          <w:tcPr>
            <w:tcW w:w="7087" w:type="dxa"/>
            <w:shd w:val="clear" w:color="auto" w:fill="auto"/>
          </w:tcPr>
          <w:p w14:paraId="21E1367E" w14:textId="710480DD" w:rsidR="00814384" w:rsidRPr="0070784B" w:rsidRDefault="00814384" w:rsidP="00814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66 | 2,60</w:t>
            </w:r>
          </w:p>
        </w:tc>
      </w:tr>
      <w:tr w:rsidR="00814384" w:rsidRPr="0070784B" w14:paraId="47A8247F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52F3BB28" w14:textId="1A4B2B20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TIEFEN (mm) | (in)</w:t>
            </w:r>
          </w:p>
        </w:tc>
        <w:tc>
          <w:tcPr>
            <w:tcW w:w="7087" w:type="dxa"/>
            <w:shd w:val="clear" w:color="auto" w:fill="auto"/>
          </w:tcPr>
          <w:p w14:paraId="555C0E94" w14:textId="5E7A5FE7" w:rsidR="00814384" w:rsidRPr="0070784B" w:rsidRDefault="00814384" w:rsidP="00814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110 | 4,33</w:t>
            </w:r>
          </w:p>
        </w:tc>
      </w:tr>
      <w:tr w:rsidR="00814384" w:rsidRPr="0070784B" w14:paraId="2F2B3D31" w14:textId="77777777" w:rsidTr="0016386A">
        <w:trPr>
          <w:trHeight w:val="300"/>
        </w:trPr>
        <w:tc>
          <w:tcPr>
            <w:tcW w:w="1980" w:type="dxa"/>
            <w:shd w:val="clear" w:color="auto" w:fill="auto"/>
            <w:hideMark/>
          </w:tcPr>
          <w:p w14:paraId="188D0916" w14:textId="469E685A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GEWICHT (kg) | (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lbs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7087" w:type="dxa"/>
            <w:shd w:val="clear" w:color="auto" w:fill="auto"/>
            <w:noWrap/>
          </w:tcPr>
          <w:p w14:paraId="6DC4BA48" w14:textId="703AFFC6" w:rsidR="00814384" w:rsidRPr="0070784B" w:rsidRDefault="00814384" w:rsidP="0081438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0,2 | 0,44</w:t>
            </w:r>
          </w:p>
        </w:tc>
      </w:tr>
      <w:tr w:rsidR="00814384" w:rsidRPr="0070784B" w14:paraId="2C521082" w14:textId="77777777" w:rsidTr="00814384">
        <w:trPr>
          <w:trHeight w:val="214"/>
        </w:trPr>
        <w:tc>
          <w:tcPr>
            <w:tcW w:w="1980" w:type="dxa"/>
            <w:shd w:val="clear" w:color="auto" w:fill="auto"/>
            <w:hideMark/>
          </w:tcPr>
          <w:p w14:paraId="28D73CF8" w14:textId="5A89F4D6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GARANTIE</w:t>
            </w:r>
          </w:p>
        </w:tc>
        <w:tc>
          <w:tcPr>
            <w:tcW w:w="7087" w:type="dxa"/>
            <w:shd w:val="clear" w:color="auto" w:fill="auto"/>
            <w:hideMark/>
          </w:tcPr>
          <w:p w14:paraId="2445FEF0" w14:textId="3942E49E" w:rsidR="00814384" w:rsidRPr="0070784B" w:rsidRDefault="00814384" w:rsidP="008143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2</w:t>
            </w:r>
          </w:p>
        </w:tc>
      </w:tr>
    </w:tbl>
    <w:p w14:paraId="52EC8BD3" w14:textId="77777777" w:rsidR="007315D6" w:rsidRPr="0070784B" w:rsidRDefault="007315D6">
      <w:pPr>
        <w:rPr>
          <w:sz w:val="16"/>
          <w:szCs w:val="16"/>
        </w:rPr>
      </w:pPr>
    </w:p>
    <w:sectPr w:rsidR="007315D6" w:rsidRPr="00707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84B"/>
    <w:rsid w:val="0016386A"/>
    <w:rsid w:val="00483253"/>
    <w:rsid w:val="00483A4D"/>
    <w:rsid w:val="0070784B"/>
    <w:rsid w:val="007315D6"/>
    <w:rsid w:val="00814384"/>
    <w:rsid w:val="008F4B7D"/>
    <w:rsid w:val="009A7E21"/>
    <w:rsid w:val="00BE7C24"/>
    <w:rsid w:val="00D31EC8"/>
    <w:rsid w:val="00E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B1971"/>
  <w15:chartTrackingRefBased/>
  <w15:docId w15:val="{D475FBB5-6D62-4D22-817F-503AAB4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4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Kulczycka</dc:creator>
  <cp:keywords/>
  <dc:description/>
  <cp:lastModifiedBy>Eliza Kulczycka</cp:lastModifiedBy>
  <cp:revision>2</cp:revision>
  <cp:lastPrinted>2021-02-16T06:47:00Z</cp:lastPrinted>
  <dcterms:created xsi:type="dcterms:W3CDTF">2021-02-22T13:59:00Z</dcterms:created>
  <dcterms:modified xsi:type="dcterms:W3CDTF">2021-02-22T13:59:00Z</dcterms:modified>
</cp:coreProperties>
</file>